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A711B" w14:textId="31E80F31" w:rsidR="00AF3207" w:rsidRPr="00AF3207" w:rsidRDefault="00AF3207" w:rsidP="00AF3207">
      <w:p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</w:pPr>
      <w:r w:rsidRPr="00AF3207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PROCEDURA POSTĘPOWANIA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br/>
      </w:r>
      <w:r w:rsidRPr="00AF3207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NA WYPADEK POPEŁNIENIA PRZEZ UCZNIA</w:t>
      </w:r>
      <w:r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br/>
      </w:r>
      <w:r w:rsidRPr="00AF3207">
        <w:rPr>
          <w:rFonts w:asciiTheme="majorHAnsi" w:eastAsia="Times New Roman" w:hAnsiTheme="majorHAnsi" w:cstheme="majorHAnsi"/>
          <w:b/>
          <w:bCs/>
          <w:sz w:val="36"/>
          <w:szCs w:val="36"/>
          <w:lang w:eastAsia="pl-PL"/>
        </w:rPr>
        <w:t>CZYNU KARALNEGO</w:t>
      </w:r>
    </w:p>
    <w:p w14:paraId="084EC3E5" w14:textId="77777777" w:rsidR="00AF3207" w:rsidRPr="00AF3207" w:rsidRDefault="00AF3207" w:rsidP="00AF3207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 xml:space="preserve">Cel: Zapewnienie bezpieczeństwa fizycznego w szkole na wypadek popełnienia przez ucznia czynu karalnego oraz udzielenie pomocy uczniowi –sprawcy czynu karalnego. </w:t>
      </w:r>
    </w:p>
    <w:p w14:paraId="50BDCA48" w14:textId="77777777" w:rsidR="00AF3207" w:rsidRPr="00AF3207" w:rsidRDefault="00AF3207" w:rsidP="00AF3207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 xml:space="preserve">Osoby odpowiedzialne za zarządzanie: Dyrektor lub wicedyrektor szkoły, osoba wyznaczona w przypadku nieobecności w/w. </w:t>
      </w:r>
    </w:p>
    <w:p w14:paraId="1C061ECD" w14:textId="77777777" w:rsidR="00AF3207" w:rsidRPr="00AF3207" w:rsidRDefault="00AF3207" w:rsidP="00AF3207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>Podstawy uruchomienia działań: Przypadek dotyczy czynów zabronionych przez ustawę o postępowaniu w sprawach nieletnich rozumianych jako przestępstwo, przestępstwo skarbowe albo wykroczenie określone w artykułach: art. 50a –posiadanie noża, maczety lub innego podobnie niebezpiecznego przedmiotu w miejscu publicznym,</w:t>
      </w:r>
    </w:p>
    <w:p w14:paraId="31D84E81" w14:textId="77777777" w:rsidR="00AF3207" w:rsidRPr="00AF3207" w:rsidRDefault="00AF3207" w:rsidP="00AF3207">
      <w:pPr>
        <w:spacing w:after="16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>art. 51 – zakłócenie spokoju lub porządku publicznego, art. 69 –umyślne niszczenie, uszkadzanie, usuwanie znaków, art. 74 –niszczenie, uszkadzanie, usuwanie znaków ostrzegawczych, art. 76 –rzucanie przedmiotami w pojazd mechaniczny, art. 85 –samowolne ustawianie, niszczenie, uszkadzanie znaków, art. 87 –prowadzenie pojazdu w stanie po użyciu alkoholu, art. 119–kradzież lub przywłaszczenie, art. 122 – paserstwo czyli nabycie mienia, wiedząc o tym, że pochodzi ono z kradzieży, art. 124 –niszczenie lub uszkadzanie cudzej rzeczy, art. 133 –spekulacja biletami, tzw. konik, art. 143 –utrudnianie lub uniemożliwianie korzystania z urządzeń użytku publicznego.</w:t>
      </w:r>
    </w:p>
    <w:p w14:paraId="52486EE6" w14:textId="77777777" w:rsidR="00AF3207" w:rsidRPr="00AF3207" w:rsidRDefault="00AF3207" w:rsidP="00AF3207">
      <w:pPr>
        <w:spacing w:after="160"/>
        <w:rPr>
          <w:rFonts w:asciiTheme="majorHAnsi" w:eastAsia="Times New Roman" w:hAnsiTheme="majorHAnsi" w:cstheme="majorHAnsi"/>
          <w:b/>
          <w:bCs/>
          <w:lang w:eastAsia="pl-PL"/>
        </w:rPr>
      </w:pPr>
      <w:r w:rsidRPr="00AF3207">
        <w:rPr>
          <w:rFonts w:asciiTheme="majorHAnsi" w:eastAsia="Times New Roman" w:hAnsiTheme="majorHAnsi" w:cstheme="majorHAnsi"/>
          <w:b/>
          <w:bCs/>
          <w:lang w:eastAsia="pl-PL"/>
        </w:rPr>
        <w:t>Sposób działania:</w:t>
      </w:r>
    </w:p>
    <w:p w14:paraId="3FD344B2" w14:textId="77777777" w:rsidR="00AF3207" w:rsidRPr="00AF3207" w:rsidRDefault="00AF3207" w:rsidP="00AF3207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>Osoba będąca świadkiem/dostrzegła zagrożenie zobowiązania jest do powiadomienia dyrektora szkoły.</w:t>
      </w:r>
    </w:p>
    <w:p w14:paraId="26FF4405" w14:textId="77777777" w:rsidR="00AF3207" w:rsidRPr="00AF3207" w:rsidRDefault="00AF3207" w:rsidP="00AF3207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>Dyrektor szkoły odpowiada za ustalenie okoliczności czynu i ewentualnych świadków zdarzenia</w:t>
      </w:r>
    </w:p>
    <w:p w14:paraId="29E1481D" w14:textId="77777777" w:rsidR="00AF3207" w:rsidRPr="00AF3207" w:rsidRDefault="00AF3207" w:rsidP="00AF3207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>W przypadku, gdy sprawca jest znany i przebywa na terenie szkoły, wyznaczone przez niego osoby winny zatrzymać i przekazać go Dyrektorowi szkoły lub pedagogowi szkolnemu pod opiekę.</w:t>
      </w:r>
    </w:p>
    <w:p w14:paraId="42984146" w14:textId="77777777" w:rsidR="00AF3207" w:rsidRPr="00AF3207" w:rsidRDefault="00AF3207" w:rsidP="00AF3207">
      <w:pPr>
        <w:numPr>
          <w:ilvl w:val="0"/>
          <w:numId w:val="1"/>
        </w:numPr>
        <w:ind w:left="144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>Dyrektor szkoły winien powiadomić rodziców ucznia o zaistniałym przypadku.</w:t>
      </w:r>
    </w:p>
    <w:p w14:paraId="19A7D0E1" w14:textId="3B9725FF" w:rsidR="00AF3207" w:rsidRPr="00AF3207" w:rsidRDefault="00AF3207" w:rsidP="00AF3207">
      <w:pPr>
        <w:numPr>
          <w:ilvl w:val="0"/>
          <w:numId w:val="1"/>
        </w:numPr>
        <w:spacing w:after="160"/>
        <w:ind w:left="1440"/>
        <w:rPr>
          <w:rFonts w:asciiTheme="majorHAnsi" w:eastAsia="Times New Roman" w:hAnsiTheme="majorHAnsi" w:cstheme="majorHAnsi"/>
          <w:lang w:eastAsia="pl-PL"/>
        </w:rPr>
      </w:pPr>
      <w:r w:rsidRPr="00AF3207">
        <w:rPr>
          <w:rFonts w:asciiTheme="majorHAnsi" w:eastAsia="Times New Roman" w:hAnsiTheme="majorHAnsi" w:cstheme="majorHAnsi"/>
          <w:lang w:eastAsia="pl-PL"/>
        </w:rPr>
        <w:t>Dyrektor szkoły jest zobowiązany do niezwłocznego powiadomienia policji w przypadku, gdy sprawa jest poważna (np. rozbój, uszkodzenie ciała, itp.) lub w przypadku, gdy nieletni sprawca nie jest uczniem szkoły i jego tożsamość jest nieznana. Do jego obowiązków należy także zabezpieczenie ewentualnych dowodów lub przedmiotów pochodzących z przestępstwa i przekazanie ich policji.</w:t>
      </w:r>
    </w:p>
    <w:sectPr w:rsidR="00AF3207" w:rsidRPr="00AF3207" w:rsidSect="00E947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918"/>
    <w:multiLevelType w:val="multilevel"/>
    <w:tmpl w:val="D9D4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07"/>
    <w:rsid w:val="001304E4"/>
    <w:rsid w:val="00AF3207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010F9"/>
  <w15:chartTrackingRefBased/>
  <w15:docId w15:val="{2B429405-CE45-B348-B271-8DF4E95F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32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32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F32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0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Duszyński</dc:creator>
  <cp:keywords/>
  <dc:description/>
  <cp:lastModifiedBy>Robert Duszyński</cp:lastModifiedBy>
  <cp:revision>1</cp:revision>
  <dcterms:created xsi:type="dcterms:W3CDTF">2021-03-25T23:55:00Z</dcterms:created>
  <dcterms:modified xsi:type="dcterms:W3CDTF">2021-03-25T23:56:00Z</dcterms:modified>
</cp:coreProperties>
</file>